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23 118 vom 30. Juni 2023</w:t>
      </w:r>
    </w:p>
    <w:p>
      <w:r>
        <w:t>VS Kantonsgericht, 2023-06-30, FR</w:t>
      </w:r>
    </w:p>
    <w:p>
      <w:r>
        <w:rPr>
          <w:b/>
        </w:rPr>
        <w:t xml:space="preserve">Quelle: </w:t>
      </w:r>
      <w:r>
        <w:t>https://mcp.opencaselaw.ch/entscheid/vs_gerichte_C1 23 118</w:t>
      </w:r>
    </w:p>
    <w:p>
      <w:r>
        <w:t>FR: VS_GERICHTE C1 23 118 du 30 juin 2023</w:t>
      </w:r>
    </w:p>
    <w:p>
      <w:r>
        <w:t>IT: VS_GERICHTE C1 23 118 del 30 giugno 2023</w:t>
      </w:r>
    </w:p>
    <w:p>
      <w:pPr>
        <w:pStyle w:val="Heading2"/>
      </w:pPr>
      <w:r>
        <w:t>Regeste</w:t>
      </w:r>
    </w:p>
    <w:p>
      <w:r>
        <w:t>C1 23 118 C2 23 37 ARRÊT DU 30 JUIN 2023 Tribunal cantonal du Valais Autorité de recours en matière de protection de l'enfant et de l'adulte Camille Rey-Mermet, présidente ; Christina Rouvinez, greffière en la cause X _________, recourante, représentée par Maître François Pernet, avocat à Sion contre Y _________, intimé au recours (reprise des relations personnelles) recours contre la décision du 17 février 2023 de l’Autorité de protection de l’enfant et de l’adulte du district de Sierre</w:t>
      </w:r>
    </w:p>
    <w:p>
      <w:pPr>
        <w:pStyle w:val="Heading2"/>
      </w:pPr>
      <w:r>
        <w:t>Erwägungen</w:t>
      </w:r>
    </w:p>
    <w:p>
      <w:r>
        <w:rPr>
          <w:b/>
        </w:rPr>
        <w:t>E. 1.1</w:t>
      </w:r>
    </w:p>
    <w:p>
      <w:r>
        <w:t>Les décisions de l’autorité de protection de l’enfant peuvent faire l’objet d’un recours (art. 450 al. 1 CC applicable par analogie en matière de protection de l’enfant par renvoi de l’art. 314 al. 1 CC). Ont notamment qualité pour recourir les parties à la procédure et les proches de la personne concernée (art. 450 al. 2 ch. 1 et 2 CC). Le délai de recours est de 30 jours à compter de la notification de la décision (art. 450b al. 1 CC). Aux termes de l’art. 445 al. 1 CC, l’autorité de protection prend, d’office ou à la demande d’une partie à la procédure, toutes les mesures provisionnelles nécessaires pendant la durée de la procédure. Dans une telle hypothèse, le délai de recours contre une décision relative aux mesures provisionnelles est de dix jours (art. 445 al. 3 CC).</w:t>
      </w:r>
    </w:p>
    <w:p>
      <w:r>
        <w:t>- 4 - Selon l’art. 238 lit. f CPC, une décision de justice doit contenir l’indication des voies de droit. La décision doit ainsi préciser si elle est susceptible d'appel (art. 308 ss CPC) ou de recours (art. 319 ss CPC), et dans quel délai, ces indications devant être adaptées au cas particulier (arrêt 4A_475/2018 du 12 septembre 2019 consid. 5.1 et 5.2 n.p. in ATF 145 III 469). Il résulte du principe de la bonne foi que l’indication inexacte des voies de droit ne peut en principe causer aucun préjudice à la partie qui ne connaissait pas - directement ou par son mandataire - cette inexactitude, ni ne pouvait la reconnaître en faisant preuve de l’attention usuelle (art. 52 CPC ; ATF 135 III 374 consid. 1.2.2.1). La protection de la confiance n’est refusée qu’à la partie dont la négligence est grossière, ce qui s’apprécie eu égard à ses connaissances juridiques et aux circonstances concrètes (ATF 135 III 374 consid. 1.2.2.1). Dans le cas présent, le recours émane d’une partie à la procédure qui bénéficie dès lors de la qualité pour recourir. Le recours a été interjeté le 25 mai 2023 contre une décision notifiée le 26 avril 2023 et qui indiquait qu’elle était susceptible de recours « dans un délai de 30 jours dès la notification » (décision attaquée, p. 8). Au vu de la nature provisoire de la décision entreprise (cf. notamment, décision attaquée, p. 1) et du fait qu’il a été interjeté par un mandataire professionnel, le recours pourrait être tardif et partant, irrecevable (art. 445 al. 3 CC). Cette question peut toutefois rester ouverte, au vu du rejet du recours infra.</w:t>
      </w:r>
    </w:p>
    <w:p>
      <w:r>
        <w:rPr>
          <w:b/>
        </w:rPr>
        <w:t>E. 1.2</w:t>
      </w:r>
    </w:p>
    <w:p>
      <w:r>
        <w:t>La présente décision peut ressortir à un juge unique (art. 5 al. 2 let. LACPC).</w:t>
      </w:r>
    </w:p>
    <w:p>
      <w:r>
        <w:rPr>
          <w:b/>
        </w:rPr>
        <w:t>E. 2.1</w:t>
      </w:r>
    </w:p>
    <w:p>
      <w:r>
        <w:t>Le recours peut être formé pour violation du droit, constatation fausse ou incomplète des faits pertinents et inopportunité de la décision (art. 450a CC).</w:t>
      </w:r>
    </w:p>
    <w:p>
      <w:r>
        <w:rPr>
          <w:b/>
        </w:rPr>
        <w:t>E. 2.2</w:t>
      </w:r>
    </w:p>
    <w:p>
      <w:r>
        <w:t>Tout comme la procédure de première instance, la procédure de recours est régie par la maxime d'office et par la maxime inquisitoire. Le tribunal dispose d'un plein pouvoir d'examen, en fait comme en droit (art. 446 CC). A défaut de disposition contraire du droit cantonal, le tribunal peut statuer sans débats (art. 450f CC et 316 al. 1 CPC). L’autorité de recours statue en principe sur pièces. Dans une telle hypothèse, l’autorité de recours peut notamment refuser une mesure probatoire en procédant à une appréciation anticipée des preuves, lorsqu'elle estime que le moyen de preuve requis ne pourrait pas fournir la preuve attendue ou ne pourrait en aucun cas prévaloir sur les autres moyens de preuves déjà administrés en première instance, à savoir lorsqu'il ne serait pas de nature à modifier le résultat des preuves qu'elle tient pour acquis (ATF 138 III 374 consid. 4.3.2).</w:t>
      </w:r>
    </w:p>
    <w:p>
      <w:r>
        <w:t>- 5 - En l’espèce, la recourante sollicite l’édition par le Tribunal de Sierre du dossier P1 23 21 afin d’établir notamment que l’intimé figure au casier judiciaire pour neuf condamnations prononcées à son encontre entre le 30 mars 2012 et le 31 janvier 2022 ; ce moyen de preuve vise en outre à établir qu’il a été reconnu coupable de lésions corporelles simples et de voies de fait sur la personne de la recourante par ordonnance pénale du 1er septembre 2022 (qui a fait l’objet d’une opposition de l’intéressé selon la recourante). Or, cette ordonnance pénale, ainsi que l’extrait du casier judiciaire de l’intimé ont déjà été versés en cause par la recourante (cf. courrier du 28 février 2023 versant en cause le dossier pénal MPC 22 4151, pp. 86-108). Le moyen de preuve requis ne sera donc pas mis en œuvre car il n’est pas de nature à modifier l’appréciation de l’ensemble des moyens de preuve figurant déjà au dossier de l’APEA qui a été édité d’office. Pour les mêmes motifs, la requête de la recourante tendant à l’audition des parties par le Tribunal cantonal est rejetée, celles-ci ayant déjà été entendues par l’autorité attaquée.</w:t>
      </w:r>
    </w:p>
    <w:p>
      <w:r>
        <w:rPr>
          <w:b/>
        </w:rPr>
        <w:t>E. 3</w:t>
      </w:r>
    </w:p>
    <w:p>
      <w:r>
        <w:t>La recourante fait grief à l’autorité attaquée d’avoir ordonné la reprise des relations personnelles entre l’intimé et leur enfant. Elle estime qu’une telle décision est inopportune.</w:t>
      </w:r>
    </w:p>
    <w:p>
      <w:r>
        <w:rPr>
          <w:b/>
        </w:rPr>
        <w:t>E. 3.1</w:t>
      </w:r>
    </w:p>
    <w:p>
      <w:r>
        <w:t>Aux termes de l'art. 273 al. 1 CC, le père ou la mère qui ne détient pas l'autorité parentale ou la garde ainsi que l'enfant mineur ont réciproquement le droit d'entretenir les relations personnelles indiquées par les circonstances. Ce contact avec le parent non gardien est en principe bénéfique en termes d’équilibre psychologique et de construction de l’identité personnelle. Le rapport de l’enfant avec ses deux parents est considéré comme essentiel et peut jouer un rôle décisif dans le processus de formation de l’identité de l’enfant (MEIER/STETTLER, Droit de la filiation, 6ème édition, 2019, n. 965 et les réf. cit.). Autrefois considéré comme un droit naturel des parents, le droit aux relations personnelles est désormais conçu non seulement comme un droit et un devoir de ceux- ci (cf. art. 273 al. 2 CC), mais aussi comme un droit de la personnalité de l'enfant ; il doit servir en premier lieu l'intérêt de celui-ci (ATF 131 III 209 consid. 5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bénéficiaire du droit viole ses obligations lorsqu’il entretient des relations personnelles irrégulièrement ou de façon arbitraire ou fait fi des modalités nécessaires pour que ces relations se déroulent dans l’ordre. Cela peut être le cas de</w:t>
      </w:r>
    </w:p>
    <w:p>
      <w:r>
        <w:t>- 6 - violations qui amènent des déceptions répétées pour l’enfant, au point que la poursuite des relations personnelles pourrait avoir des effets négatifs sur son équilibre psychologique (arrêt 5A_663/2012 du 12 mars 2013 consid. 4).</w:t>
      </w:r>
    </w:p>
    <w:p>
      <w:r>
        <w:rPr>
          <w:b/>
        </w:rPr>
        <w:t>E. 3.2</w:t>
      </w:r>
    </w:p>
    <w:p>
      <w:r>
        <w:t>En l’occurrence, A _________ est âgée de 18 mois ; comme établi supra, elle a été placée chez ses grands-parents maternels à l’âge de huit mois, en raison des difficultés rencontrées par ses parents et d’un contexte de violences conjugales. A l’époque de son placement, sa mère ne travaillait pas et logeait au Foyer Aurore à Sion. Par rapport du</w:t>
      </w:r>
    </w:p>
    <w:p>
      <w:r>
        <w:rPr>
          <w:b/>
        </w:rPr>
        <w:t>E. 6</w:t>
      </w:r>
    </w:p>
    <w:p>
      <w:r>
        <w:t>L’intimé n’ayant pas été représenté par un mandataire professionnel et n’ayant pas été invité à se déterminer dans la présente procédure, il n’est pas alloué de dépens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